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08" w:rsidRDefault="00925089" w:rsidP="0074730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</w:t>
      </w:r>
      <w:bookmarkStart w:id="0" w:name="_GoBack"/>
      <w:bookmarkEnd w:id="0"/>
      <w:r w:rsidR="00747308">
        <w:rPr>
          <w:rFonts w:ascii="Times New Roman" w:hAnsi="Times New Roman" w:cs="Times New Roman"/>
          <w:b/>
          <w:sz w:val="36"/>
          <w:szCs w:val="36"/>
        </w:rPr>
        <w:t xml:space="preserve"> #3 – Observer</w:t>
      </w:r>
    </w:p>
    <w:p w:rsidR="009D5A56" w:rsidRDefault="009D5A56" w:rsidP="0074730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308" w:rsidRDefault="00747308" w:rsidP="007473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Listen carefully to the exchange between patient and clinician</w:t>
      </w:r>
    </w:p>
    <w:p w:rsidR="00747308" w:rsidRDefault="00747308" w:rsidP="007473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“</w:t>
      </w:r>
      <w:r w:rsidR="00267DA1">
        <w:rPr>
          <w:rFonts w:ascii="Times New Roman" w:hAnsi="Times New Roman" w:cs="Times New Roman"/>
          <w:sz w:val="28"/>
          <w:szCs w:val="28"/>
        </w:rPr>
        <w:t>High Performance Behaviors Checklist</w:t>
      </w:r>
      <w:r w:rsidR="00CB1D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CB1D04">
        <w:rPr>
          <w:rFonts w:ascii="Times New Roman" w:hAnsi="Times New Roman" w:cs="Times New Roman"/>
          <w:sz w:val="28"/>
          <w:szCs w:val="28"/>
        </w:rPr>
        <w:t xml:space="preserve"> attached</w:t>
      </w:r>
    </w:p>
    <w:p w:rsidR="00CB1D04" w:rsidRDefault="00CB1D04" w:rsidP="007473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the clinician’s final medication list to the “gold standard,” attached</w:t>
      </w:r>
    </w:p>
    <w:p w:rsidR="00747308" w:rsidRDefault="00747308" w:rsidP="007473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prepared to give feedback to your colleagues:</w:t>
      </w:r>
    </w:p>
    <w:p w:rsidR="00747308" w:rsidRDefault="00747308" w:rsidP="007473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use high performance behaviors?</w:t>
      </w:r>
    </w:p>
    <w:p w:rsidR="00747308" w:rsidRDefault="00747308" w:rsidP="00CB1D0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achieve an accurate Best Possible Medication History (BPMH)?</w:t>
      </w:r>
    </w:p>
    <w:p w:rsidR="00CB1D04" w:rsidRPr="004434DF" w:rsidRDefault="00CB1D04" w:rsidP="00CB1D04">
      <w:pPr>
        <w:rPr>
          <w:rFonts w:cs="Times New Roman"/>
        </w:rPr>
      </w:pPr>
      <w:r w:rsidRPr="004434DF">
        <w:rPr>
          <w:rFonts w:cs="Times New Roman"/>
        </w:rPr>
        <w:t>If the clinician asks for the outpatient pharmacy records, please give him/her the pharmacy list, attached.</w:t>
      </w:r>
    </w:p>
    <w:p w:rsidR="00747308" w:rsidRDefault="00267DA1" w:rsidP="00267DA1">
      <w:pPr>
        <w:rPr>
          <w:rFonts w:cs="Times New Roman"/>
        </w:rPr>
      </w:pPr>
      <w:r w:rsidRPr="004434DF">
        <w:rPr>
          <w:rFonts w:cs="Times New Roman"/>
        </w:rPr>
        <w:t>If the clinician asks for other medication sources, say that they are not available (except for the bag of medications, which the patient should give the clinician if asked)</w:t>
      </w:r>
    </w:p>
    <w:p w:rsidR="007D060E" w:rsidRPr="004434DF" w:rsidRDefault="007D060E" w:rsidP="00267DA1">
      <w:pPr>
        <w:rPr>
          <w:rFonts w:cs="Times New Roman"/>
        </w:rPr>
      </w:pPr>
      <w:r>
        <w:rPr>
          <w:rFonts w:cs="Times New Roman"/>
        </w:rPr>
        <w:t>The PCP’s office is closed for the day.</w:t>
      </w:r>
    </w:p>
    <w:p w:rsidR="00B27FFD" w:rsidRPr="00D23BBD" w:rsidRDefault="00B27FFD" w:rsidP="00B27FFD">
      <w:pPr>
        <w:rPr>
          <w:rFonts w:cs="Times New Roman"/>
        </w:rPr>
      </w:pPr>
    </w:p>
    <w:p w:rsidR="00B27FFD" w:rsidRPr="00D86B8A" w:rsidRDefault="00B27FFD" w:rsidP="00B27FFD">
      <w:pPr>
        <w:rPr>
          <w:rFonts w:cs="Times New Roman"/>
          <w:b/>
        </w:rPr>
      </w:pPr>
      <w:r w:rsidRPr="00D86B8A">
        <w:rPr>
          <w:rFonts w:cs="Times New Roman"/>
          <w:b/>
        </w:rPr>
        <w:t>Notes:</w:t>
      </w:r>
    </w:p>
    <w:p w:rsidR="00AC771E" w:rsidRDefault="00AC771E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AC771E" w:rsidRDefault="00AC771E" w:rsidP="00AC771E">
      <w:pPr>
        <w:spacing w:after="0"/>
        <w:ind w:left="360"/>
        <w:rPr>
          <w:b/>
          <w:sz w:val="28"/>
          <w:szCs w:val="28"/>
        </w:rPr>
      </w:pPr>
      <w:r w:rsidRPr="00AC771E">
        <w:rPr>
          <w:b/>
          <w:sz w:val="28"/>
          <w:szCs w:val="28"/>
        </w:rPr>
        <w:lastRenderedPageBreak/>
        <w:t>“Gold Standard” Preadmission Medication List</w:t>
      </w:r>
    </w:p>
    <w:p w:rsidR="001C77C4" w:rsidRPr="00AC771E" w:rsidRDefault="001C77C4" w:rsidP="00AC771E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(Do Not Share with Clinician)</w:t>
      </w:r>
    </w:p>
    <w:p w:rsidR="00AC771E" w:rsidRPr="00AC771E" w:rsidRDefault="00AC771E" w:rsidP="00AC771E">
      <w:pPr>
        <w:spacing w:after="0"/>
        <w:ind w:left="360"/>
        <w:rPr>
          <w:sz w:val="28"/>
          <w:szCs w:val="28"/>
        </w:rPr>
      </w:pPr>
    </w:p>
    <w:p w:rsidR="00247465" w:rsidRPr="0042724A" w:rsidRDefault="00247465" w:rsidP="00247465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 xml:space="preserve">Omeprazole 40 mg 1 </w:t>
      </w:r>
      <w:r>
        <w:t>capsule</w:t>
      </w:r>
      <w:r w:rsidRPr="0042724A">
        <w:t xml:space="preserve"> by mouth 30 minutes before breakfast for heartburn problems</w:t>
      </w:r>
    </w:p>
    <w:p w:rsidR="00247465" w:rsidRPr="0042724A" w:rsidRDefault="00247465" w:rsidP="00247465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 xml:space="preserve">Metoprolol ER </w:t>
      </w:r>
      <w:r>
        <w:t>12.5mg (</w:t>
      </w:r>
      <w:r w:rsidRPr="00071E7A">
        <w:rPr>
          <w:b/>
        </w:rPr>
        <w:t xml:space="preserve">one-half </w:t>
      </w:r>
      <w:r w:rsidRPr="00516FAB">
        <w:t>of the ER 25mg tablet</w:t>
      </w:r>
      <w:r>
        <w:rPr>
          <w:b/>
        </w:rPr>
        <w:t>)</w:t>
      </w:r>
      <w:r w:rsidRPr="0042724A">
        <w:t xml:space="preserve"> by mouth every morning for blood pressure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Losartan 25 mg 1 tablet by mouth every morning for blood pressure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 xml:space="preserve">ECASA 81 mg one tablet by mouth daily for stroke protection 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Atorvastatin 40 mg 1 tablet at bedtime for cholesterol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Hydrocodone/Acetaminophen 5/325 mg 1-2 tablets every 8 hours as needed for hip pain</w:t>
      </w:r>
      <w:r w:rsidR="00B910A4">
        <w:t xml:space="preserve"> (patient takes 1 tablet 2-3 times a day)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Vitamin D2 1.25 mg capsule (50,000units) take once capsule by mouth once weekly (</w:t>
      </w:r>
      <w:r w:rsidR="00663922">
        <w:t>patient</w:t>
      </w:r>
      <w:r w:rsidRPr="0042724A">
        <w:t xml:space="preserve"> take</w:t>
      </w:r>
      <w:r w:rsidR="00663922">
        <w:t>s</w:t>
      </w:r>
      <w:r w:rsidRPr="0042724A">
        <w:t xml:space="preserve"> on Saturdays)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Acetaminophen 500 mg 1 tablet by mouth twice daily as needed for headache or pain</w:t>
      </w:r>
    </w:p>
    <w:p w:rsidR="00AC771E" w:rsidRPr="0042724A" w:rsidRDefault="00663922" w:rsidP="00AC771E">
      <w:pPr>
        <w:pStyle w:val="ListParagraph"/>
        <w:numPr>
          <w:ilvl w:val="0"/>
          <w:numId w:val="1"/>
        </w:numPr>
        <w:spacing w:after="0" w:line="256" w:lineRule="auto"/>
      </w:pPr>
      <w:r>
        <w:t>Patient</w:t>
      </w:r>
      <w:r w:rsidR="00AC771E" w:rsidRPr="0042724A">
        <w:t xml:space="preserve"> do</w:t>
      </w:r>
      <w:r>
        <w:t>es</w:t>
      </w:r>
      <w:r w:rsidR="00AC771E" w:rsidRPr="0042724A">
        <w:t xml:space="preserve"> not take enoxaparin or ibuprofen (those are for after surgery)</w:t>
      </w:r>
    </w:p>
    <w:p w:rsidR="00AC771E" w:rsidRPr="0042724A" w:rsidRDefault="00663922" w:rsidP="00AC771E">
      <w:pPr>
        <w:pStyle w:val="ListParagraph"/>
        <w:numPr>
          <w:ilvl w:val="0"/>
          <w:numId w:val="1"/>
        </w:numPr>
        <w:spacing w:after="0" w:line="256" w:lineRule="auto"/>
      </w:pPr>
      <w:r>
        <w:t>Patient</w:t>
      </w:r>
      <w:r w:rsidR="00AC771E" w:rsidRPr="0042724A">
        <w:t xml:space="preserve"> stopped taking the diclofenac several weeks prior to surgery (per surgeon’s instructions) and do</w:t>
      </w:r>
      <w:r>
        <w:t>es</w:t>
      </w:r>
      <w:r w:rsidR="00AC771E" w:rsidRPr="0042724A">
        <w:t xml:space="preserve"> not plan to resume post operatively. </w:t>
      </w:r>
    </w:p>
    <w:p w:rsidR="00AC771E" w:rsidRPr="0042724A" w:rsidRDefault="00AC771E" w:rsidP="00AC771E">
      <w:pPr>
        <w:pStyle w:val="ListParagraph"/>
        <w:numPr>
          <w:ilvl w:val="0"/>
          <w:numId w:val="1"/>
        </w:numPr>
        <w:spacing w:after="0" w:line="256" w:lineRule="auto"/>
      </w:pPr>
      <w:r w:rsidRPr="0042724A">
        <w:t>Cetirizine 10 mg by mouth daily prn allergy symptoms (</w:t>
      </w:r>
      <w:r w:rsidR="00663922">
        <w:t>Patient has</w:t>
      </w:r>
      <w:r w:rsidRPr="0042724A">
        <w:t xml:space="preserve"> not taken in several months) – this does not need to be included on the gold standar</w:t>
      </w:r>
      <w:r w:rsidR="00925089">
        <w:t>d list since not taken recently</w:t>
      </w:r>
      <w:r w:rsidRPr="0042724A">
        <w:t>.</w:t>
      </w:r>
    </w:p>
    <w:p w:rsidR="00CB1D04" w:rsidRDefault="00CB1D04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267DA1" w:rsidRPr="00267DA1" w:rsidRDefault="00267DA1">
      <w:pPr>
        <w:rPr>
          <w:b/>
          <w:sz w:val="28"/>
          <w:szCs w:val="28"/>
        </w:rPr>
      </w:pPr>
      <w:r w:rsidRPr="00267DA1">
        <w:rPr>
          <w:b/>
          <w:sz w:val="28"/>
          <w:szCs w:val="28"/>
        </w:rPr>
        <w:lastRenderedPageBreak/>
        <w:t>High-Performance Behaviors Checklist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758"/>
        <w:gridCol w:w="1458"/>
      </w:tblGrid>
      <w:tr w:rsidR="00267DA1" w:rsidRPr="003640DA" w:rsidTr="00267DA1">
        <w:tc>
          <w:tcPr>
            <w:tcW w:w="7758" w:type="dxa"/>
          </w:tcPr>
          <w:p w:rsidR="00267DA1" w:rsidRDefault="00267DA1" w:rsidP="00267DA1">
            <w:r w:rsidRPr="003640DA">
              <w:t>Asks the patient open-ended questions about what medications she or he is taking (i.e., doesn’t read the list and ask if it is correct)</w:t>
            </w:r>
          </w:p>
          <w:p w:rsidR="00267DA1" w:rsidRPr="003640DA" w:rsidRDefault="00267DA1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 w:rsidRPr="0042724A">
              <w:t>Patient will only describe metoprolol ER dose correctly as one-half tablet if asked “how are you taking this med”</w:t>
            </w:r>
            <w:r>
              <w:t xml:space="preserve"> or “describe how you take this”,</w:t>
            </w:r>
            <w:r w:rsidR="00443864">
              <w:t xml:space="preserve"> rather than “are </w:t>
            </w:r>
            <w:r w:rsidRPr="0042724A">
              <w:t>you taking the metoprolol ER one tablet daily?”</w:t>
            </w:r>
          </w:p>
        </w:tc>
        <w:tc>
          <w:tcPr>
            <w:tcW w:w="1458" w:type="dxa"/>
            <w:vAlign w:val="center"/>
          </w:tcPr>
          <w:p w:rsidR="00267DA1" w:rsidRPr="003640DA" w:rsidRDefault="00267DA1" w:rsidP="00267DA1">
            <w:pPr>
              <w:jc w:val="center"/>
            </w:pPr>
            <w:r>
              <w:sym w:font="Symbol" w:char="F0FF"/>
            </w:r>
          </w:p>
        </w:tc>
      </w:tr>
      <w:tr w:rsidR="00267DA1" w:rsidRPr="003640DA" w:rsidTr="00267DA1">
        <w:tc>
          <w:tcPr>
            <w:tcW w:w="7758" w:type="dxa"/>
          </w:tcPr>
          <w:p w:rsidR="00267DA1" w:rsidRDefault="00267DA1" w:rsidP="00267DA1">
            <w:r w:rsidRPr="003640DA">
              <w:t>Uses probing questions to elicit additional information: non-oral meds, non-daily meds, PRN medications, non-prescription meds</w:t>
            </w:r>
          </w:p>
          <w:p w:rsidR="00267DA1" w:rsidRDefault="00267DA1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 w:rsidRPr="0042724A">
              <w:t>Patient will only descr</w:t>
            </w:r>
            <w:r>
              <w:t>ibe Vitamin D if probed for non-da</w:t>
            </w:r>
            <w:r w:rsidRPr="0042724A">
              <w:t>ily medications or if probed after clinician contacted pharmacy.</w:t>
            </w:r>
          </w:p>
          <w:p w:rsidR="00B910A4" w:rsidRDefault="00B910A4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>
              <w:t>Patient will only describe Tylenol if asked about OTC medications</w:t>
            </w:r>
          </w:p>
          <w:p w:rsidR="00B910A4" w:rsidRPr="003640DA" w:rsidRDefault="00B910A4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>
              <w:t xml:space="preserve">Patient will only describe cetirizine if asked about seasonal medications 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RPr="003640DA" w:rsidTr="00267DA1">
        <w:tc>
          <w:tcPr>
            <w:tcW w:w="7758" w:type="dxa"/>
          </w:tcPr>
          <w:p w:rsidR="00267DA1" w:rsidRPr="003640DA" w:rsidRDefault="00267DA1" w:rsidP="00267DA1">
            <w:r w:rsidRPr="003640DA">
              <w:t>Uses other probes to elicit additional medications: common reasons for PRNs, meds for pr</w:t>
            </w:r>
            <w:r>
              <w:t>oblems in the problem list</w:t>
            </w:r>
            <w:r w:rsidR="009352BA">
              <w:t>, meds prescribed for specialists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RPr="003640DA" w:rsidTr="00267DA1">
        <w:tc>
          <w:tcPr>
            <w:tcW w:w="7758" w:type="dxa"/>
          </w:tcPr>
          <w:p w:rsidR="00267DA1" w:rsidRPr="003640DA" w:rsidRDefault="00267DA1" w:rsidP="00267DA1">
            <w:r w:rsidRPr="003640DA">
              <w:t>Asks about adherence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RPr="003640DA" w:rsidTr="00267DA1">
        <w:tc>
          <w:tcPr>
            <w:tcW w:w="7758" w:type="dxa"/>
          </w:tcPr>
          <w:p w:rsidR="009352BA" w:rsidRDefault="00267DA1" w:rsidP="00267DA1">
            <w:r w:rsidRPr="003640DA">
              <w:t xml:space="preserve">Uses at least two sources of medications, </w:t>
            </w:r>
            <w:r w:rsidR="009352BA">
              <w:t>ideally one provided by the patient and one from another “objective” source</w:t>
            </w:r>
            <w:r w:rsidR="00BF29DF">
              <w:t xml:space="preserve"> </w:t>
            </w:r>
            <w:r w:rsidR="00E02B75">
              <w:t>(e.g., p</w:t>
            </w:r>
            <w:r w:rsidR="00BF29DF">
              <w:t xml:space="preserve">atient’s own list and ambulatory EMR </w:t>
            </w:r>
            <w:r w:rsidR="00E02B75">
              <w:t>med list)</w:t>
            </w:r>
          </w:p>
          <w:p w:rsidR="00267DA1" w:rsidRPr="003640DA" w:rsidRDefault="009352BA" w:rsidP="00267DA1">
            <w:pPr>
              <w:pStyle w:val="ListParagraph"/>
              <w:numPr>
                <w:ilvl w:val="0"/>
                <w:numId w:val="5"/>
              </w:numPr>
            </w:pPr>
            <w:r>
              <w:t>I</w:t>
            </w:r>
            <w:r w:rsidR="00267DA1">
              <w:t>n this case, patient’s memory, patient’s bag of medications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E02B75" w:rsidRPr="003640DA" w:rsidTr="00267DA1">
        <w:tc>
          <w:tcPr>
            <w:tcW w:w="7758" w:type="dxa"/>
          </w:tcPr>
          <w:p w:rsidR="00E02B75" w:rsidRDefault="00E02B75" w:rsidP="00267DA1">
            <w:r>
              <w:t>Knows when to stop getting additional sources (e.g. if patient has a list or pill bottles and seems completely reliable and data are not that dissimilar from the other sources, and/or the differences can be explained)</w:t>
            </w:r>
          </w:p>
          <w:p w:rsidR="00E02B75" w:rsidRPr="003640DA" w:rsidRDefault="00E02B75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 w:rsidRPr="0042724A">
              <w:t>Once the metoprolol dose is explained rationally, the additional medicati</w:t>
            </w:r>
            <w:r>
              <w:t>ons listed from the pharmacy and missing medication</w:t>
            </w:r>
            <w:r w:rsidRPr="0042724A">
              <w:t xml:space="preserve"> from the patient’s medication bag can be explained, the clinician should stop getting additional information.</w:t>
            </w:r>
          </w:p>
        </w:tc>
        <w:tc>
          <w:tcPr>
            <w:tcW w:w="1458" w:type="dxa"/>
            <w:vAlign w:val="center"/>
          </w:tcPr>
          <w:p w:rsidR="00E02B75" w:rsidRPr="00367A27" w:rsidRDefault="00E02B75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RPr="003640DA" w:rsidTr="00267DA1">
        <w:tc>
          <w:tcPr>
            <w:tcW w:w="7758" w:type="dxa"/>
          </w:tcPr>
          <w:p w:rsidR="00267DA1" w:rsidRDefault="00E02B75" w:rsidP="00267DA1">
            <w:r>
              <w:t>Knows when</w:t>
            </w:r>
            <w:r w:rsidR="00267DA1">
              <w:t xml:space="preserve"> to</w:t>
            </w:r>
            <w:r w:rsidR="00267DA1" w:rsidRPr="003640DA">
              <w:t xml:space="preserve"> get additional sources </w:t>
            </w:r>
            <w:r>
              <w:t xml:space="preserve">if available </w:t>
            </w:r>
            <w:r w:rsidR="00267DA1">
              <w:t xml:space="preserve">(e.g., </w:t>
            </w:r>
            <w:r>
              <w:t xml:space="preserve">if </w:t>
            </w:r>
            <w:r w:rsidR="00267DA1" w:rsidRPr="003640DA">
              <w:t>patient is not sure</w:t>
            </w:r>
            <w:r>
              <w:t xml:space="preserve">, relying on memory only or </w:t>
            </w:r>
            <w:r w:rsidR="00267DA1" w:rsidRPr="003640DA">
              <w:t>cannot resolve</w:t>
            </w:r>
            <w:r w:rsidR="00267DA1">
              <w:t xml:space="preserve"> discrepancies</w:t>
            </w:r>
            <w:r>
              <w:t xml:space="preserve"> among the various sources of medication information</w:t>
            </w:r>
            <w:r w:rsidR="00267DA1">
              <w:t>)</w:t>
            </w:r>
          </w:p>
          <w:p w:rsidR="00267DA1" w:rsidRPr="003640DA" w:rsidRDefault="00443864" w:rsidP="00443864">
            <w:pPr>
              <w:pStyle w:val="ListParagraph"/>
              <w:numPr>
                <w:ilvl w:val="0"/>
                <w:numId w:val="4"/>
              </w:numPr>
              <w:spacing w:line="256" w:lineRule="auto"/>
            </w:pPr>
            <w:r w:rsidRPr="0042724A">
              <w:t>Clinician should seek to clarify / explain the following inconsistencies with additional source</w:t>
            </w:r>
            <w:r>
              <w:t>s</w:t>
            </w:r>
            <w:r w:rsidRPr="0042724A">
              <w:t>: metoprolol ER, hydrocodone/apap, ibuprofen, enoxaparin, diclofenac, acetaminophen, cetirizine, and vitamin D.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E02B75" w:rsidRPr="003640DA" w:rsidTr="00267DA1">
        <w:tc>
          <w:tcPr>
            <w:tcW w:w="7758" w:type="dxa"/>
          </w:tcPr>
          <w:p w:rsidR="00E02B75" w:rsidRDefault="00E02B75" w:rsidP="00267DA1">
            <w:r w:rsidRPr="00E02B75">
              <w:t>When additional sources are needed, uses available sources ﬁrst (e.g., pill bottles present). Then obtains pharmacy data. If the medication history is still not clear: obtains outpatient provider lists, pill bottles from home and/or other sources.</w:t>
            </w:r>
          </w:p>
          <w:p w:rsidR="00F11DE6" w:rsidRDefault="00F11DE6" w:rsidP="00F11DE6">
            <w:pPr>
              <w:pStyle w:val="ListParagraph"/>
              <w:numPr>
                <w:ilvl w:val="0"/>
                <w:numId w:val="5"/>
              </w:numPr>
            </w:pPr>
            <w:r>
              <w:t>Clinician may miss correct hydrocodone/acetaminophen dose/frequency if he/she does not ask patient if medications are present</w:t>
            </w:r>
          </w:p>
        </w:tc>
        <w:tc>
          <w:tcPr>
            <w:tcW w:w="1458" w:type="dxa"/>
            <w:vAlign w:val="center"/>
          </w:tcPr>
          <w:p w:rsidR="00E02B75" w:rsidRPr="00367A27" w:rsidRDefault="00443864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E02B75" w:rsidRPr="003640DA" w:rsidTr="00267DA1">
        <w:tc>
          <w:tcPr>
            <w:tcW w:w="7758" w:type="dxa"/>
          </w:tcPr>
          <w:p w:rsidR="00E02B75" w:rsidRPr="00E02B75" w:rsidRDefault="00E02B75" w:rsidP="00267DA1">
            <w:r w:rsidRPr="00E02B75">
              <w:t xml:space="preserve">Uses resources like Drugs.com to identify loose medications </w:t>
            </w:r>
            <w:r w:rsidR="003B3F82">
              <w:t>(i.e., for a bag of medications,</w:t>
            </w:r>
            <w:r w:rsidRPr="00E02B75">
              <w:t xml:space="preserve"> not</w:t>
            </w:r>
            <w:r>
              <w:t xml:space="preserve"> in their bottles, provided by patient)</w:t>
            </w:r>
          </w:p>
        </w:tc>
        <w:tc>
          <w:tcPr>
            <w:tcW w:w="1458" w:type="dxa"/>
            <w:vAlign w:val="center"/>
          </w:tcPr>
          <w:p w:rsidR="00E02B75" w:rsidRPr="00367A27" w:rsidRDefault="00443864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E02B75" w:rsidRPr="003640DA" w:rsidTr="00267DA1">
        <w:tc>
          <w:tcPr>
            <w:tcW w:w="7758" w:type="dxa"/>
          </w:tcPr>
          <w:p w:rsidR="00E02B75" w:rsidRDefault="00535F94" w:rsidP="00267DA1">
            <w:r w:rsidRPr="00535F94">
              <w:t>Returns to patient to review new information, resolve all remaining discrepancies</w:t>
            </w:r>
          </w:p>
          <w:p w:rsidR="00183015" w:rsidRPr="00E02B75" w:rsidRDefault="00183015" w:rsidP="00B910A4">
            <w:pPr>
              <w:pStyle w:val="ListParagraph"/>
              <w:numPr>
                <w:ilvl w:val="0"/>
                <w:numId w:val="5"/>
              </w:numPr>
            </w:pPr>
            <w:r>
              <w:t>Clinician should clarify “extra” medications from patient’s bag (e.g., OTC omeprazole</w:t>
            </w:r>
            <w:r w:rsidR="00B910A4">
              <w:t xml:space="preserve">) and from pharmacy records (e.g., </w:t>
            </w:r>
            <w:r>
              <w:t xml:space="preserve"> enoxaparin)</w:t>
            </w:r>
          </w:p>
        </w:tc>
        <w:tc>
          <w:tcPr>
            <w:tcW w:w="1458" w:type="dxa"/>
            <w:vAlign w:val="center"/>
          </w:tcPr>
          <w:p w:rsidR="00E02B75" w:rsidRPr="00367A27" w:rsidRDefault="00443864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Tr="00267DA1">
        <w:tc>
          <w:tcPr>
            <w:tcW w:w="7758" w:type="dxa"/>
          </w:tcPr>
          <w:p w:rsidR="00267DA1" w:rsidRDefault="00443864" w:rsidP="00535F94">
            <w:r>
              <w:t>Gets help from other team members when needed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  <w:tr w:rsidR="00267DA1" w:rsidTr="00267DA1">
        <w:tc>
          <w:tcPr>
            <w:tcW w:w="7758" w:type="dxa"/>
          </w:tcPr>
          <w:p w:rsidR="00267DA1" w:rsidRDefault="00267DA1" w:rsidP="00443864">
            <w:pPr>
              <w:spacing w:line="256" w:lineRule="auto"/>
            </w:pPr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</w:tc>
        <w:tc>
          <w:tcPr>
            <w:tcW w:w="1458" w:type="dxa"/>
            <w:vAlign w:val="center"/>
          </w:tcPr>
          <w:p w:rsidR="00267DA1" w:rsidRDefault="00267DA1" w:rsidP="00267DA1">
            <w:pPr>
              <w:jc w:val="center"/>
            </w:pPr>
            <w:r w:rsidRPr="00367A27">
              <w:sym w:font="Symbol" w:char="F0FF"/>
            </w:r>
          </w:p>
        </w:tc>
      </w:tr>
    </w:tbl>
    <w:p w:rsidR="008A43DC" w:rsidRDefault="00227BB5" w:rsidP="00B910A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</w:t>
      </w:r>
      <w:r w:rsidR="008A43DC">
        <w:rPr>
          <w:rFonts w:ascii="Times New Roman" w:hAnsi="Times New Roman" w:cs="Times New Roman"/>
          <w:b/>
          <w:sz w:val="36"/>
          <w:szCs w:val="36"/>
        </w:rPr>
        <w:t xml:space="preserve"> #3 – Outpatient Pharmacy Records</w:t>
      </w:r>
    </w:p>
    <w:p w:rsidR="008A43DC" w:rsidRPr="00D6756C" w:rsidRDefault="008A43DC" w:rsidP="008A43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8A43DC" w:rsidRDefault="008A43DC" w:rsidP="008A43DC">
      <w:pPr>
        <w:ind w:left="360"/>
        <w:rPr>
          <w:b/>
        </w:rPr>
      </w:pPr>
    </w:p>
    <w:p w:rsidR="008A43DC" w:rsidRDefault="008A43DC" w:rsidP="008A43DC">
      <w:pPr>
        <w:ind w:left="360"/>
        <w:rPr>
          <w:b/>
        </w:rPr>
      </w:pPr>
      <w:r>
        <w:rPr>
          <w:b/>
        </w:rPr>
        <w:t xml:space="preserve">The patient’s pharmacy is able to provide you with the following information (recently filled medications).  </w:t>
      </w:r>
    </w:p>
    <w:p w:rsidR="008A43DC" w:rsidRPr="00035675" w:rsidRDefault="008A43DC" w:rsidP="008A43DC">
      <w:pPr>
        <w:ind w:left="360"/>
      </w:pPr>
      <w:r>
        <w:rPr>
          <w:b/>
        </w:rPr>
        <w:t>Today is October 1, 2015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Omeprazole 40 mg take one capsule orally 30 minutes before breakfast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9/12/15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Metoprolol succinate ER 25 mg take one tablet daily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9/12/15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Losartan 25 mg take one tablet daily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9/12/15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Atorvastatin 40 mg take 1 tablet at bedtime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9/4/15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Vitamin D2 1.25 mg 50,000 units take one capsule once per week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9/4/15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Ibuprofen 800 mg take one tablet every eight hours as needed for pain</w:t>
      </w:r>
    </w:p>
    <w:p w:rsidR="008A43DC" w:rsidRPr="00C610FC" w:rsidRDefault="008A43DC" w:rsidP="008A43DC">
      <w:pPr>
        <w:pStyle w:val="ListParagraph"/>
        <w:numPr>
          <w:ilvl w:val="1"/>
          <w:numId w:val="1"/>
        </w:numPr>
        <w:spacing w:after="0" w:line="256" w:lineRule="auto"/>
        <w:rPr>
          <w:i/>
        </w:rPr>
      </w:pPr>
      <w:r>
        <w:t>Last filled 9/29/15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Enoxaparin 40 mg subcutaneously daily as directed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9/29/15</w:t>
      </w:r>
    </w:p>
    <w:p w:rsidR="008A43DC" w:rsidRDefault="008A43DC" w:rsidP="008A43DC">
      <w:pPr>
        <w:pStyle w:val="ListParagraph"/>
        <w:numPr>
          <w:ilvl w:val="0"/>
          <w:numId w:val="1"/>
        </w:numPr>
        <w:spacing w:after="0" w:line="256" w:lineRule="auto"/>
      </w:pPr>
      <w:r>
        <w:t>Diclofenac sodium EC 75 mg take one tablet by mouth two times per day</w:t>
      </w:r>
    </w:p>
    <w:p w:rsidR="008A43DC" w:rsidRDefault="008A43DC" w:rsidP="008A43DC">
      <w:pPr>
        <w:pStyle w:val="ListParagraph"/>
        <w:numPr>
          <w:ilvl w:val="1"/>
          <w:numId w:val="1"/>
        </w:numPr>
        <w:spacing w:after="0" w:line="256" w:lineRule="auto"/>
      </w:pPr>
      <w:r>
        <w:t>Last filled 9/2/15</w:t>
      </w:r>
    </w:p>
    <w:p w:rsidR="008A43DC" w:rsidRDefault="008A43DC" w:rsidP="008A43DC">
      <w:pPr>
        <w:spacing w:after="0"/>
        <w:ind w:left="360"/>
      </w:pPr>
    </w:p>
    <w:p w:rsidR="00D61EAD" w:rsidRPr="00747308" w:rsidRDefault="00D61EAD" w:rsidP="00747308"/>
    <w:sectPr w:rsidR="00D61EAD" w:rsidRPr="00747308" w:rsidSect="003359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C99" w:rsidRDefault="00E83C99" w:rsidP="009D5A56">
      <w:pPr>
        <w:spacing w:after="0" w:line="240" w:lineRule="auto"/>
      </w:pPr>
      <w:r>
        <w:separator/>
      </w:r>
    </w:p>
  </w:endnote>
  <w:endnote w:type="continuationSeparator" w:id="0">
    <w:p w:rsidR="00E83C99" w:rsidRDefault="00E83C99" w:rsidP="009D5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0E" w:rsidRDefault="007D060E" w:rsidP="009D5A56">
    <w:pPr>
      <w:pStyle w:val="Footer"/>
      <w:jc w:val="right"/>
    </w:pPr>
    <w:r>
      <w:t xml:space="preserve">Case #3 – Observer </w:t>
    </w:r>
  </w:p>
  <w:p w:rsidR="007D060E" w:rsidRDefault="00E83C99" w:rsidP="009D5A5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7465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C99" w:rsidRDefault="00E83C99" w:rsidP="009D5A56">
      <w:pPr>
        <w:spacing w:after="0" w:line="240" w:lineRule="auto"/>
      </w:pPr>
      <w:r>
        <w:separator/>
      </w:r>
    </w:p>
  </w:footnote>
  <w:footnote w:type="continuationSeparator" w:id="0">
    <w:p w:rsidR="00E83C99" w:rsidRDefault="00E83C99" w:rsidP="009D5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D922A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F2377"/>
    <w:multiLevelType w:val="hybridMultilevel"/>
    <w:tmpl w:val="31FE5F9E"/>
    <w:lvl w:ilvl="0" w:tplc="208C0C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A20E8"/>
    <w:multiLevelType w:val="hybridMultilevel"/>
    <w:tmpl w:val="4B6E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E7999"/>
    <w:multiLevelType w:val="hybridMultilevel"/>
    <w:tmpl w:val="48A67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537D00"/>
    <w:multiLevelType w:val="hybridMultilevel"/>
    <w:tmpl w:val="965A8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08"/>
    <w:rsid w:val="000849CA"/>
    <w:rsid w:val="00114311"/>
    <w:rsid w:val="00183015"/>
    <w:rsid w:val="00192DAB"/>
    <w:rsid w:val="001C77C4"/>
    <w:rsid w:val="00227BB5"/>
    <w:rsid w:val="00247465"/>
    <w:rsid w:val="00267DA1"/>
    <w:rsid w:val="00297948"/>
    <w:rsid w:val="002D379F"/>
    <w:rsid w:val="00322491"/>
    <w:rsid w:val="00335927"/>
    <w:rsid w:val="003B3F82"/>
    <w:rsid w:val="004434DF"/>
    <w:rsid w:val="00443864"/>
    <w:rsid w:val="00535F94"/>
    <w:rsid w:val="005D0D9B"/>
    <w:rsid w:val="00663922"/>
    <w:rsid w:val="006D1100"/>
    <w:rsid w:val="007043CB"/>
    <w:rsid w:val="00747308"/>
    <w:rsid w:val="007D060E"/>
    <w:rsid w:val="008926FE"/>
    <w:rsid w:val="008A43DC"/>
    <w:rsid w:val="008D2E52"/>
    <w:rsid w:val="00925089"/>
    <w:rsid w:val="009352BA"/>
    <w:rsid w:val="009D5A56"/>
    <w:rsid w:val="00A34711"/>
    <w:rsid w:val="00AC771E"/>
    <w:rsid w:val="00B27FFD"/>
    <w:rsid w:val="00B910A4"/>
    <w:rsid w:val="00BF29DF"/>
    <w:rsid w:val="00C83DF8"/>
    <w:rsid w:val="00CB1D04"/>
    <w:rsid w:val="00D37D87"/>
    <w:rsid w:val="00D61EAD"/>
    <w:rsid w:val="00E02B75"/>
    <w:rsid w:val="00E83C99"/>
    <w:rsid w:val="00F1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E2E823-3408-43C0-8DEA-5910E097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D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67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A56"/>
  </w:style>
  <w:style w:type="paragraph" w:styleId="Footer">
    <w:name w:val="footer"/>
    <w:basedOn w:val="Normal"/>
    <w:link w:val="FooterChar"/>
    <w:uiPriority w:val="99"/>
    <w:unhideWhenUsed/>
    <w:rsid w:val="009D5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2015-10-02T03:38:00Z</dcterms:created>
  <dcterms:modified xsi:type="dcterms:W3CDTF">2015-10-02T03:38:00Z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